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000CFE9" w:rsidR="00F92268" w:rsidRPr="00FF66BF" w:rsidRDefault="000A49AA" w:rsidP="00F246C7">
            <w:pPr>
              <w:pStyle w:val="RefTableHeader"/>
            </w:pPr>
            <w:r w:rsidRPr="000A49AA">
              <w:t>2174-A</w:t>
            </w:r>
          </w:p>
        </w:tc>
      </w:tr>
    </w:tbl>
    <w:p w14:paraId="74FBA5B4" w14:textId="77777777" w:rsidR="00051356" w:rsidRDefault="00051356" w:rsidP="008C6B65">
      <w:pPr>
        <w:pStyle w:val="BodyText"/>
        <w:spacing w:after="0"/>
        <w:rPr>
          <w:b/>
          <w:bCs/>
          <w:sz w:val="16"/>
          <w:szCs w:val="16"/>
        </w:rPr>
        <w:sectPr w:rsidR="00051356" w:rsidSect="00E42245">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1DF8BF93" w:rsidR="004B15BB" w:rsidRPr="00BD1CC1" w:rsidRDefault="000A49AA" w:rsidP="007E5C16">
      <w:pPr>
        <w:pStyle w:val="Heading1"/>
      </w:pPr>
      <w:r w:rsidRPr="000A49AA">
        <w:t>Specialty Guideline Management</w:t>
      </w:r>
      <w:r>
        <w:br/>
      </w:r>
      <w:proofErr w:type="spellStart"/>
      <w:r w:rsidRPr="000A49AA">
        <w:t>Synribo</w:t>
      </w:r>
      <w:proofErr w:type="spellEnd"/>
    </w:p>
    <w:p w14:paraId="78861C92" w14:textId="3F91F6FE" w:rsidR="00203468" w:rsidRPr="00BD1CC1" w:rsidRDefault="00C64534" w:rsidP="008E0F0D">
      <w:pPr>
        <w:pStyle w:val="Heading2"/>
      </w:pPr>
      <w:r w:rsidRPr="00BD1CC1">
        <w:t xml:space="preserve">Products Referenced by this </w:t>
      </w:r>
      <w:r w:rsidR="00501602" w:rsidRPr="00BD1CC1">
        <w:t>Document</w:t>
      </w:r>
    </w:p>
    <w:p w14:paraId="5455152B" w14:textId="2EB3A249"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8718C3">
        <w:t>Over</w:t>
      </w:r>
      <w:r w:rsidR="006C28D4">
        <w:t>-</w:t>
      </w:r>
      <w:r w:rsidR="008718C3">
        <w:t>the</w:t>
      </w:r>
      <w:r w:rsidR="006C28D4">
        <w:t>-</w:t>
      </w:r>
      <w:r w:rsidR="008718C3">
        <w:t>counter (</w:t>
      </w:r>
      <w:r w:rsidRPr="00BD1CC1">
        <w:t>OTC</w:t>
      </w:r>
      <w:r w:rsidR="008718C3">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5D2FE134" w:rsidR="00585FFF" w:rsidRPr="00BD1CC1" w:rsidRDefault="000A49AA" w:rsidP="00E82ABA">
            <w:pPr>
              <w:pStyle w:val="TableDataUnpadded"/>
            </w:pPr>
            <w:r w:rsidRPr="000A49AA">
              <w:t>Synribo</w:t>
            </w:r>
          </w:p>
        </w:tc>
        <w:tc>
          <w:tcPr>
            <w:tcW w:w="5595" w:type="dxa"/>
          </w:tcPr>
          <w:p w14:paraId="7E26A004" w14:textId="4A74C870" w:rsidR="00585FFF" w:rsidRPr="00BD1CC1" w:rsidRDefault="000A49AA" w:rsidP="00E82ABA">
            <w:pPr>
              <w:pStyle w:val="TableDataUnpadded"/>
            </w:pPr>
            <w:r w:rsidRPr="000A49AA">
              <w:t>omacetaxine mepesuccinate</w:t>
            </w:r>
          </w:p>
        </w:tc>
      </w:tr>
    </w:tbl>
    <w:bookmarkEnd w:id="0"/>
    <w:p w14:paraId="14CE6108" w14:textId="5746A448" w:rsidR="00FC1AAD" w:rsidRDefault="00ED052F" w:rsidP="00AA2A94">
      <w:pPr>
        <w:pStyle w:val="Heading2"/>
        <w:tabs>
          <w:tab w:val="left" w:pos="9540"/>
        </w:tabs>
      </w:pPr>
      <w:r>
        <w:t>Indications</w:t>
      </w:r>
    </w:p>
    <w:p w14:paraId="7F777871" w14:textId="1DAC6248" w:rsidR="000A49AA" w:rsidRPr="007A2D79" w:rsidRDefault="000A49AA" w:rsidP="007A2D79">
      <w:pPr>
        <w:pStyle w:val="BodyText"/>
      </w:pPr>
      <w:r w:rsidRPr="007A2D79">
        <w:t>The indications below including FDA-approved indications and compendial uses are considered a covered benefit provided that all the approval criteria are met and the member has no exclusions to the prescribed therapy.</w:t>
      </w:r>
    </w:p>
    <w:p w14:paraId="134B5687" w14:textId="41F226B8" w:rsidR="00ED052F" w:rsidRPr="000A49AA" w:rsidRDefault="00ED052F" w:rsidP="00ED052F">
      <w:pPr>
        <w:pStyle w:val="Heading3"/>
        <w:keepNext w:val="0"/>
      </w:pPr>
      <w:r w:rsidRPr="00BD1CC1">
        <w:t>FDA-approved Indications</w:t>
      </w:r>
      <w:r w:rsidR="000A49AA" w:rsidRPr="000A49AA">
        <w:rPr>
          <w:vertAlign w:val="superscript"/>
        </w:rPr>
        <w:t>1</w:t>
      </w:r>
    </w:p>
    <w:p w14:paraId="27452DC1" w14:textId="64C66611" w:rsidR="000A49AA" w:rsidRPr="007A2D79" w:rsidRDefault="000A49AA" w:rsidP="007A2D79">
      <w:pPr>
        <w:pStyle w:val="BodyText"/>
      </w:pPr>
      <w:r w:rsidRPr="007A2D79">
        <w:t>Synribo is indicated for the treatment of adult patients with chronic or accelerated phase chronic myeloid leukemia (CML) with resistance and/or intolerance to two or more tyrosine kinase inhibitors (TKIs).</w:t>
      </w:r>
    </w:p>
    <w:p w14:paraId="0B5EC236" w14:textId="11565435" w:rsidR="0044763A" w:rsidRPr="000A49AA" w:rsidRDefault="009F2EF1" w:rsidP="0044763A">
      <w:pPr>
        <w:pStyle w:val="Heading3"/>
      </w:pPr>
      <w:r>
        <w:t>Compendial Uses</w:t>
      </w:r>
      <w:r w:rsidR="000A49AA" w:rsidRPr="000A49AA">
        <w:rPr>
          <w:vertAlign w:val="superscript"/>
        </w:rPr>
        <w:t>2,3</w:t>
      </w:r>
    </w:p>
    <w:p w14:paraId="13BB34F7" w14:textId="29E33696" w:rsidR="000A49AA" w:rsidRPr="000A49AA" w:rsidRDefault="000A49AA" w:rsidP="000A49AA">
      <w:pPr>
        <w:pStyle w:val="ListParagraph"/>
        <w:numPr>
          <w:ilvl w:val="0"/>
          <w:numId w:val="28"/>
        </w:numPr>
      </w:pPr>
      <w:r w:rsidRPr="000A49AA">
        <w:t>Treatment of advanced phase CML for patients with disease progression to accelerated phase</w:t>
      </w:r>
    </w:p>
    <w:p w14:paraId="5CF5EEB1" w14:textId="253E149C" w:rsidR="000A49AA" w:rsidRPr="000A49AA" w:rsidRDefault="000A49AA" w:rsidP="000A49AA">
      <w:pPr>
        <w:pStyle w:val="ListParagraph"/>
        <w:numPr>
          <w:ilvl w:val="0"/>
          <w:numId w:val="28"/>
        </w:numPr>
      </w:pPr>
      <w:r w:rsidRPr="000A49AA">
        <w:t>Additional therapy for CML patients after hematopoietic stem cell transplant (HSCT)</w:t>
      </w:r>
    </w:p>
    <w:p w14:paraId="26793DCA" w14:textId="61D2E1C0" w:rsidR="000A49AA" w:rsidRPr="007A2D79" w:rsidRDefault="000A49AA" w:rsidP="007A2D79">
      <w:pPr>
        <w:pStyle w:val="BodyText"/>
      </w:pPr>
      <w:r w:rsidRPr="007A2D79">
        <w:t>All other indications are considered experimental/investigational and not medically necessary.</w:t>
      </w:r>
    </w:p>
    <w:p w14:paraId="36381B6D" w14:textId="7145B39D" w:rsidR="000D2496" w:rsidRDefault="000D2496" w:rsidP="008A1C17">
      <w:pPr>
        <w:pStyle w:val="Heading2"/>
        <w:keepNext w:val="0"/>
        <w:widowControl w:val="0"/>
        <w:tabs>
          <w:tab w:val="left" w:pos="9390"/>
        </w:tabs>
      </w:pPr>
      <w:r w:rsidRPr="00BD1CC1">
        <w:t>Documentation</w:t>
      </w:r>
    </w:p>
    <w:p w14:paraId="787FE6CD" w14:textId="77777777" w:rsidR="000A49AA" w:rsidRDefault="000A49AA" w:rsidP="008A1C17">
      <w:pPr>
        <w:widowControl w:val="0"/>
      </w:pPr>
      <w:r>
        <w:t>Submission of the following information is necessary to initiate the prior authorization review:</w:t>
      </w:r>
    </w:p>
    <w:p w14:paraId="16067E5A" w14:textId="5DC643C0" w:rsidR="000A49AA" w:rsidRPr="000A49AA" w:rsidRDefault="000A49AA" w:rsidP="008A1C17">
      <w:pPr>
        <w:widowControl w:val="0"/>
      </w:pPr>
      <w:r>
        <w:lastRenderedPageBreak/>
        <w:t>Prior to initiation of therapy, results of cytogenetic and/or molecular testing for detection of the Ph chromosome or the BCR::ABL gene</w:t>
      </w:r>
    </w:p>
    <w:p w14:paraId="50A38FBA" w14:textId="0A32D1D9" w:rsidR="00FE0C63" w:rsidRDefault="00685107" w:rsidP="00E050E1">
      <w:pPr>
        <w:pStyle w:val="Heading2"/>
      </w:pPr>
      <w:r>
        <w:t>Coverage Criteria</w:t>
      </w:r>
    </w:p>
    <w:p w14:paraId="3F596120" w14:textId="77777777" w:rsidR="000A49AA" w:rsidRDefault="000A49AA" w:rsidP="000A49AA">
      <w:pPr>
        <w:pStyle w:val="Heading3"/>
      </w:pPr>
      <w:r>
        <w:t>Chronic Myeloid Leukemia (CML)</w:t>
      </w:r>
      <w:r w:rsidRPr="000A49AA">
        <w:rPr>
          <w:vertAlign w:val="superscript"/>
        </w:rPr>
        <w:t>1-3</w:t>
      </w:r>
    </w:p>
    <w:p w14:paraId="62EFDABF" w14:textId="77777777" w:rsidR="000A49AA" w:rsidRPr="008C6B65" w:rsidRDefault="000A49AA" w:rsidP="008C6B65">
      <w:pPr>
        <w:pStyle w:val="BodyText"/>
      </w:pPr>
      <w:r w:rsidRPr="008C6B65">
        <w:t>Authorization of 12 months may be granted for treatment of CML confirmed by detection of the Ph chromosome or BCR::ABL gene by cytogenetic and/or molecular testing when all of the following criteria are met:</w:t>
      </w:r>
    </w:p>
    <w:p w14:paraId="26A7AE3A" w14:textId="787D101E" w:rsidR="000A49AA" w:rsidRPr="000A49AA" w:rsidRDefault="000A49AA" w:rsidP="000A49AA">
      <w:pPr>
        <w:pStyle w:val="ListParagraph"/>
        <w:numPr>
          <w:ilvl w:val="0"/>
          <w:numId w:val="30"/>
        </w:numPr>
      </w:pPr>
      <w:r w:rsidRPr="000A49AA">
        <w:t>Member meets any of the following:</w:t>
      </w:r>
    </w:p>
    <w:p w14:paraId="09D39C93" w14:textId="12132684" w:rsidR="000A49AA" w:rsidRPr="000A49AA" w:rsidRDefault="000A49AA" w:rsidP="000A49AA">
      <w:pPr>
        <w:pStyle w:val="ListParagraph"/>
        <w:numPr>
          <w:ilvl w:val="1"/>
          <w:numId w:val="32"/>
        </w:numPr>
      </w:pPr>
      <w:r w:rsidRPr="000A49AA">
        <w:t>Member has chronic or accelerated phase CML</w:t>
      </w:r>
    </w:p>
    <w:p w14:paraId="162A5B0B" w14:textId="458C39EA" w:rsidR="000A49AA" w:rsidRPr="000A49AA" w:rsidRDefault="000A49AA" w:rsidP="000A49AA">
      <w:pPr>
        <w:pStyle w:val="ListParagraph"/>
        <w:numPr>
          <w:ilvl w:val="1"/>
          <w:numId w:val="32"/>
        </w:numPr>
      </w:pPr>
      <w:r w:rsidRPr="000A49AA">
        <w:t>Member has received HSCT for CML</w:t>
      </w:r>
    </w:p>
    <w:p w14:paraId="71F36BD7" w14:textId="37181ACC" w:rsidR="000A49AA" w:rsidRPr="000A49AA" w:rsidRDefault="000A49AA" w:rsidP="000A49AA">
      <w:pPr>
        <w:pStyle w:val="ListParagraph"/>
        <w:numPr>
          <w:ilvl w:val="0"/>
          <w:numId w:val="30"/>
        </w:numPr>
      </w:pPr>
      <w:r w:rsidRPr="000A49AA">
        <w:t>Member has experienced resistance or intolerance to two or more tyrosine kinase inhibitors (TKIs) (e.g., bosutinib, dasatinib, imatinib, nilotinib, ponatinib)</w:t>
      </w:r>
    </w:p>
    <w:p w14:paraId="25933EAD" w14:textId="56F0D59E" w:rsidR="000A49AA" w:rsidRPr="000A49AA" w:rsidRDefault="000A49AA" w:rsidP="000A49AA">
      <w:pPr>
        <w:pStyle w:val="ListParagraph"/>
        <w:numPr>
          <w:ilvl w:val="0"/>
          <w:numId w:val="30"/>
        </w:numPr>
      </w:pPr>
      <w:r w:rsidRPr="000A49AA">
        <w:t>The requested medication is used as a single agent</w:t>
      </w:r>
    </w:p>
    <w:p w14:paraId="3A643EC3" w14:textId="2D71D630" w:rsidR="00A501AC" w:rsidRDefault="00A501AC" w:rsidP="00A501AC">
      <w:pPr>
        <w:pStyle w:val="Heading2"/>
      </w:pPr>
      <w:r w:rsidRPr="00BD1CC1">
        <w:t>Continuation of Therapy</w:t>
      </w:r>
    </w:p>
    <w:p w14:paraId="791698BD" w14:textId="77777777" w:rsidR="000A49AA" w:rsidRDefault="000A49AA" w:rsidP="008C6B65">
      <w:pPr>
        <w:pStyle w:val="BodyText"/>
      </w:pPr>
      <w:r>
        <w:t>Authorization of 12 months may be granted for continued treatment of CML when there is no evidence of unacceptable toxicity or disease progression while on the current regimen and either of the following criteria is met:</w:t>
      </w:r>
    </w:p>
    <w:p w14:paraId="72EE8F0E" w14:textId="3A53B4F8" w:rsidR="000A49AA" w:rsidRPr="000A49AA" w:rsidRDefault="000A49AA" w:rsidP="000A49AA">
      <w:pPr>
        <w:pStyle w:val="ListParagraph"/>
        <w:numPr>
          <w:ilvl w:val="0"/>
          <w:numId w:val="33"/>
        </w:numPr>
      </w:pPr>
      <w:r w:rsidRPr="000A49AA">
        <w:t>Member has CML that has been confirmed by detection of Ph chromosome or BCR::ABL gene by cytogenetic and/ or molecular testing</w:t>
      </w:r>
    </w:p>
    <w:p w14:paraId="4DA882BE" w14:textId="6A259594" w:rsidR="000A49AA" w:rsidRPr="000A49AA" w:rsidRDefault="000A49AA" w:rsidP="000A49AA">
      <w:pPr>
        <w:pStyle w:val="ListParagraph"/>
        <w:numPr>
          <w:ilvl w:val="0"/>
          <w:numId w:val="33"/>
        </w:numPr>
      </w:pPr>
      <w:r w:rsidRPr="000A49AA">
        <w:t>Member has received HSCT for CML</w:t>
      </w:r>
    </w:p>
    <w:p w14:paraId="10DA4309" w14:textId="511BEFBB" w:rsidR="00FF66BF" w:rsidRDefault="00FF66BF" w:rsidP="00FF66BF">
      <w:pPr>
        <w:pStyle w:val="Heading2"/>
      </w:pPr>
      <w:r w:rsidRPr="008D1B34">
        <w:t>References</w:t>
      </w:r>
    </w:p>
    <w:p w14:paraId="28347C6C" w14:textId="79AEB178" w:rsidR="000A49AA" w:rsidRPr="000A49AA" w:rsidRDefault="000A49AA" w:rsidP="000A49AA">
      <w:pPr>
        <w:pStyle w:val="ReferenceOrdered"/>
      </w:pPr>
      <w:r w:rsidRPr="000A49AA">
        <w:t>Synribo [package insert]. Parsippany, NJ: Teva Pharmaceuticals USA, Inc.; May 2021.</w:t>
      </w:r>
    </w:p>
    <w:p w14:paraId="0095F7EE" w14:textId="7BBCDA88" w:rsidR="000A49AA" w:rsidRPr="000A49AA" w:rsidRDefault="000A49AA" w:rsidP="000A49AA">
      <w:pPr>
        <w:pStyle w:val="ReferenceOrdered"/>
      </w:pPr>
      <w:r w:rsidRPr="000A49AA">
        <w:t>The NCCN Drugs &amp; Biologics Compendium® © 2024 National Comprehensive Cancer Network, Inc. https://www.nccn.org. Accessed March 26, 2024.</w:t>
      </w:r>
    </w:p>
    <w:p w14:paraId="47E1A10C" w14:textId="3ADD7E38" w:rsidR="00C44990" w:rsidRPr="00FE2AFF" w:rsidRDefault="000A49AA" w:rsidP="00FE2AFF">
      <w:pPr>
        <w:pStyle w:val="ReferenceOrdered"/>
      </w:pPr>
      <w:r w:rsidRPr="000A49AA">
        <w:t>NCCN Clinical Practice Guidelines in Oncology® Chronic Myeloid Leukemia (Version 2.2024). © 2024 National Comprehensive Cancer Network, Inc. https://www.nccn.org. Accessed March 26, 2024.</w:t>
      </w:r>
    </w:p>
    <w:sectPr w:rsidR="00C44990" w:rsidRPr="00FE2AFF" w:rsidSect="00E42245">
      <w:headerReference w:type="first" r:id="rId18"/>
      <w:footerReference w:type="first" r:id="rId19"/>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EED38" w14:textId="77777777" w:rsidR="00E42245" w:rsidRDefault="00E42245">
      <w:r>
        <w:separator/>
      </w:r>
    </w:p>
  </w:endnote>
  <w:endnote w:type="continuationSeparator" w:id="0">
    <w:p w14:paraId="3498398F" w14:textId="77777777" w:rsidR="00E42245" w:rsidRDefault="00E42245">
      <w:r>
        <w:continuationSeparator/>
      </w:r>
    </w:p>
  </w:endnote>
  <w:endnote w:type="continuationNotice" w:id="1">
    <w:p w14:paraId="3ED744AE" w14:textId="77777777" w:rsidR="00E42245" w:rsidRDefault="00E422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EDEAE" w14:textId="77777777" w:rsidR="006C5E79" w:rsidRDefault="006C5E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FE4DE3D"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C5E79" w:rsidRPr="006C5E79">
      <w:rPr>
        <w:rFonts w:cs="Arial"/>
        <w:noProof/>
        <w:sz w:val="16"/>
        <w:szCs w:val="16"/>
      </w:rPr>
      <w:t>Synribo</w:t>
    </w:r>
    <w:r w:rsidR="006C5E79">
      <w:rPr>
        <w:rFonts w:cs="Arial"/>
        <w:noProof/>
        <w:snapToGrid w:val="0"/>
        <w:color w:val="000000"/>
        <w:sz w:val="16"/>
        <w:szCs w:val="16"/>
      </w:rPr>
      <w:t xml:space="preserve"> 2174-A SGM</w:t>
    </w:r>
    <w:r w:rsidR="006C5E79" w:rsidRPr="006C5E79">
      <w:rPr>
        <w:rFonts w:cs="Arial"/>
        <w:noProof/>
        <w:sz w:val="16"/>
        <w:szCs w:val="16"/>
      </w:rPr>
      <w:t xml:space="preserve"> P2024</w:t>
    </w:r>
    <w:r w:rsidR="006C5E79">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3C2A732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4C17174" w:rsidR="00F75C81" w:rsidRPr="00FE2AFF" w:rsidRDefault="00C36B72" w:rsidP="00FE2AF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5BEAB3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2001F">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C5E79" w:rsidRPr="006C5E79">
      <w:rPr>
        <w:rFonts w:cs="Arial"/>
        <w:noProof/>
        <w:sz w:val="16"/>
        <w:szCs w:val="16"/>
      </w:rPr>
      <w:t>Synribo</w:t>
    </w:r>
    <w:r w:rsidR="006C5E79">
      <w:rPr>
        <w:rFonts w:cs="Arial"/>
        <w:noProof/>
        <w:snapToGrid w:val="0"/>
        <w:color w:val="000000"/>
        <w:sz w:val="16"/>
        <w:szCs w:val="16"/>
      </w:rPr>
      <w:t xml:space="preserve"> 2174-A SGM</w:t>
    </w:r>
    <w:r w:rsidR="006C5E79" w:rsidRPr="006C5E79">
      <w:rPr>
        <w:rFonts w:cs="Arial"/>
        <w:noProof/>
        <w:sz w:val="16"/>
        <w:szCs w:val="16"/>
      </w:rPr>
      <w:t xml:space="preserve"> P2024_R.docx</w:t>
    </w:r>
    <w:r w:rsidRPr="00EC47B6">
      <w:rPr>
        <w:rFonts w:cs="Arial"/>
        <w:noProof/>
        <w:sz w:val="16"/>
        <w:szCs w:val="16"/>
      </w:rPr>
      <w:fldChar w:fldCharType="end"/>
    </w:r>
    <w:r w:rsidRPr="00E2001F">
      <w:rPr>
        <w:rFonts w:cs="Arial"/>
        <w:snapToGrid w:val="0"/>
        <w:color w:val="000000"/>
        <w:sz w:val="16"/>
      </w:rPr>
      <w:tab/>
      <w:t>© 202</w:t>
    </w:r>
    <w:r w:rsidR="00D74279" w:rsidRPr="00E2001F">
      <w:rPr>
        <w:rFonts w:cs="Arial"/>
        <w:snapToGrid w:val="0"/>
        <w:color w:val="000000"/>
        <w:sz w:val="16"/>
      </w:rPr>
      <w:t>4</w:t>
    </w:r>
    <w:r w:rsidRPr="00E2001F">
      <w:rPr>
        <w:rFonts w:cs="Arial"/>
        <w:snapToGrid w:val="0"/>
        <w:color w:val="000000"/>
        <w:sz w:val="16"/>
      </w:rPr>
      <w:t xml:space="preserve"> CVS Caremark. </w:t>
    </w:r>
    <w:r w:rsidRPr="00EC47B6">
      <w:rPr>
        <w:rFonts w:cs="Arial"/>
        <w:snapToGrid w:val="0"/>
        <w:color w:val="000000"/>
        <w:sz w:val="16"/>
      </w:rPr>
      <w:t>All rights reserved.</w:t>
    </w:r>
  </w:p>
  <w:p w14:paraId="39BFE579" w14:textId="0EAE382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68A0CC0" w:rsidR="00ED04EC" w:rsidRPr="00F50D98" w:rsidRDefault="00F50D98" w:rsidP="00C0053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A09D6" w14:textId="1E014CDE" w:rsidR="000A49AA" w:rsidRPr="00F50D98" w:rsidRDefault="000A49AA"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8ACB5" w14:textId="77777777" w:rsidR="00E42245" w:rsidRDefault="00E42245">
      <w:r>
        <w:separator/>
      </w:r>
    </w:p>
  </w:footnote>
  <w:footnote w:type="continuationSeparator" w:id="0">
    <w:p w14:paraId="09676589" w14:textId="77777777" w:rsidR="00E42245" w:rsidRDefault="00E42245">
      <w:r>
        <w:continuationSeparator/>
      </w:r>
    </w:p>
  </w:footnote>
  <w:footnote w:type="continuationNotice" w:id="1">
    <w:p w14:paraId="75B01551" w14:textId="77777777" w:rsidR="00E42245" w:rsidRDefault="00E422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BA2F" w14:textId="77777777" w:rsidR="006C5E79" w:rsidRDefault="006C5E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C5E79" w14:paraId="16262E63" w14:textId="77777777" w:rsidTr="0006569F">
      <w:trPr>
        <w:trHeight w:val="144"/>
        <w:jc w:val="right"/>
      </w:trPr>
      <w:tc>
        <w:tcPr>
          <w:tcW w:w="1854" w:type="dxa"/>
          <w:hideMark/>
        </w:tcPr>
        <w:p w14:paraId="18F550B7" w14:textId="77777777" w:rsidR="00ED04EC" w:rsidRPr="006C5E79" w:rsidRDefault="00ED04EC" w:rsidP="00ED04EC">
          <w:pPr>
            <w:pStyle w:val="Header"/>
            <w:rPr>
              <w:rFonts w:cs="Arial"/>
              <w:sz w:val="16"/>
              <w:szCs w:val="16"/>
            </w:rPr>
          </w:pPr>
          <w:r w:rsidRPr="006C5E79">
            <w:rPr>
              <w:rFonts w:cs="Arial"/>
              <w:sz w:val="16"/>
              <w:szCs w:val="16"/>
            </w:rPr>
            <w:t>Reference number(s)</w:t>
          </w:r>
        </w:p>
      </w:tc>
    </w:tr>
    <w:tr w:rsidR="00ED04EC" w:rsidRPr="006C5E79" w14:paraId="703C6588" w14:textId="77777777" w:rsidTr="0006569F">
      <w:trPr>
        <w:trHeight w:val="378"/>
        <w:jc w:val="right"/>
      </w:trPr>
      <w:tc>
        <w:tcPr>
          <w:tcW w:w="1854" w:type="dxa"/>
          <w:hideMark/>
        </w:tcPr>
        <w:p w14:paraId="51CE3E64" w14:textId="1F796E4C" w:rsidR="00ED04EC" w:rsidRPr="006C5E79" w:rsidRDefault="000A49AA" w:rsidP="00ED04EC">
          <w:pPr>
            <w:pStyle w:val="Header"/>
            <w:rPr>
              <w:rFonts w:cs="Arial"/>
              <w:sz w:val="16"/>
              <w:szCs w:val="16"/>
            </w:rPr>
          </w:pPr>
          <w:r w:rsidRPr="006C5E79">
            <w:rPr>
              <w:rFonts w:cs="Arial"/>
              <w:sz w:val="16"/>
              <w:szCs w:val="16"/>
            </w:rPr>
            <w:t>2174-A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EAF35" w14:textId="77777777" w:rsidR="006C5E79" w:rsidRDefault="006C5E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A49AA" w:rsidRPr="00AA1E6A" w14:paraId="146218B7" w14:textId="77777777" w:rsidTr="00B16FE5">
      <w:trPr>
        <w:trHeight w:val="144"/>
        <w:jc w:val="right"/>
      </w:trPr>
      <w:tc>
        <w:tcPr>
          <w:tcW w:w="1854" w:type="dxa"/>
          <w:hideMark/>
        </w:tcPr>
        <w:p w14:paraId="51827227" w14:textId="77777777" w:rsidR="000A49AA" w:rsidRPr="00AA1E6A" w:rsidRDefault="000A49AA" w:rsidP="000A49AA">
          <w:pPr>
            <w:pStyle w:val="Header"/>
            <w:rPr>
              <w:rFonts w:ascii="Arial" w:hAnsi="Arial" w:cs="Arial"/>
              <w:sz w:val="16"/>
              <w:szCs w:val="16"/>
            </w:rPr>
          </w:pPr>
          <w:r w:rsidRPr="00AA1E6A">
            <w:rPr>
              <w:rFonts w:ascii="Arial" w:hAnsi="Arial" w:cs="Arial"/>
              <w:sz w:val="16"/>
              <w:szCs w:val="16"/>
            </w:rPr>
            <w:t>Reference number(s)</w:t>
          </w:r>
        </w:p>
      </w:tc>
    </w:tr>
    <w:tr w:rsidR="000A49AA" w:rsidRPr="004C7F1D" w14:paraId="40EDD141" w14:textId="77777777" w:rsidTr="00B16FE5">
      <w:trPr>
        <w:trHeight w:val="378"/>
        <w:jc w:val="right"/>
      </w:trPr>
      <w:tc>
        <w:tcPr>
          <w:tcW w:w="1854" w:type="dxa"/>
          <w:hideMark/>
        </w:tcPr>
        <w:p w14:paraId="125AD018" w14:textId="77777777" w:rsidR="000A49AA" w:rsidRPr="004C7F1D" w:rsidRDefault="000A49AA" w:rsidP="000A49AA">
          <w:pPr>
            <w:pStyle w:val="Header"/>
            <w:rPr>
              <w:rFonts w:ascii="Arial" w:hAnsi="Arial" w:cs="Arial"/>
              <w:sz w:val="16"/>
              <w:szCs w:val="16"/>
            </w:rPr>
          </w:pPr>
          <w:r w:rsidRPr="000A49AA">
            <w:rPr>
              <w:rFonts w:ascii="Arial" w:hAnsi="Arial" w:cs="Arial"/>
              <w:sz w:val="16"/>
              <w:szCs w:val="16"/>
            </w:rPr>
            <w:t>2174-A</w:t>
          </w:r>
        </w:p>
      </w:tc>
    </w:tr>
  </w:tbl>
  <w:p w14:paraId="5EFE013D" w14:textId="77777777" w:rsidR="000A49AA" w:rsidRPr="000A49AA" w:rsidRDefault="000A49AA">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8942C33"/>
    <w:multiLevelType w:val="hybridMultilevel"/>
    <w:tmpl w:val="A7144CC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9465AE4"/>
    <w:multiLevelType w:val="hybridMultilevel"/>
    <w:tmpl w:val="64F8F0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45B6143"/>
    <w:multiLevelType w:val="hybridMultilevel"/>
    <w:tmpl w:val="29004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8238DE"/>
    <w:multiLevelType w:val="hybridMultilevel"/>
    <w:tmpl w:val="881AEB1C"/>
    <w:lvl w:ilvl="0" w:tplc="C61238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082B64"/>
    <w:multiLevelType w:val="hybridMultilevel"/>
    <w:tmpl w:val="4E46308E"/>
    <w:lvl w:ilvl="0" w:tplc="F0BE3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614B4F"/>
    <w:multiLevelType w:val="hybridMultilevel"/>
    <w:tmpl w:val="7F208CC6"/>
    <w:lvl w:ilvl="0" w:tplc="41E42C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A2168"/>
    <w:multiLevelType w:val="hybridMultilevel"/>
    <w:tmpl w:val="A1E67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EF36AE"/>
    <w:multiLevelType w:val="hybridMultilevel"/>
    <w:tmpl w:val="52A2A1AE"/>
    <w:lvl w:ilvl="0" w:tplc="58C6188A">
      <w:start w:val="1"/>
      <w:numFmt w:val="decimal"/>
      <w:lvlText w:val="%1."/>
      <w:lvlJc w:val="left"/>
      <w:pPr>
        <w:ind w:left="1080" w:hanging="720"/>
      </w:pPr>
      <w:rPr>
        <w:rFonts w:hint="default"/>
      </w:rPr>
    </w:lvl>
    <w:lvl w:ilvl="1" w:tplc="3B92DBC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296EE3"/>
    <w:multiLevelType w:val="hybridMultilevel"/>
    <w:tmpl w:val="B7D86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1"/>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1"/>
  </w:num>
  <w:num w:numId="17" w16cid:durableId="2128498676">
    <w:abstractNumId w:val="33"/>
  </w:num>
  <w:num w:numId="18" w16cid:durableId="299724409">
    <w:abstractNumId w:val="28"/>
  </w:num>
  <w:num w:numId="19" w16cid:durableId="214585573">
    <w:abstractNumId w:val="15"/>
  </w:num>
  <w:num w:numId="20" w16cid:durableId="1289816170">
    <w:abstractNumId w:val="16"/>
  </w:num>
  <w:num w:numId="21" w16cid:durableId="1066490929">
    <w:abstractNumId w:val="35"/>
  </w:num>
  <w:num w:numId="22" w16cid:durableId="1472481103">
    <w:abstractNumId w:val="30"/>
  </w:num>
  <w:num w:numId="23" w16cid:durableId="1997420403">
    <w:abstractNumId w:val="32"/>
  </w:num>
  <w:num w:numId="24" w16cid:durableId="33312838">
    <w:abstractNumId w:val="29"/>
  </w:num>
  <w:num w:numId="25" w16cid:durableId="507404939">
    <w:abstractNumId w:val="20"/>
  </w:num>
  <w:num w:numId="26" w16cid:durableId="1950313333">
    <w:abstractNumId w:val="26"/>
  </w:num>
  <w:num w:numId="27" w16cid:durableId="1866016584">
    <w:abstractNumId w:val="22"/>
  </w:num>
  <w:num w:numId="28" w16cid:durableId="648628876">
    <w:abstractNumId w:val="17"/>
  </w:num>
  <w:num w:numId="29" w16cid:durableId="1126048285">
    <w:abstractNumId w:val="18"/>
  </w:num>
  <w:num w:numId="30" w16cid:durableId="1276062472">
    <w:abstractNumId w:val="14"/>
  </w:num>
  <w:num w:numId="31" w16cid:durableId="1505558822">
    <w:abstractNumId w:val="25"/>
  </w:num>
  <w:num w:numId="32" w16cid:durableId="1528905500">
    <w:abstractNumId w:val="13"/>
  </w:num>
  <w:num w:numId="33" w16cid:durableId="313341231">
    <w:abstractNumId w:val="34"/>
  </w:num>
  <w:num w:numId="34" w16cid:durableId="1691908066">
    <w:abstractNumId w:val="19"/>
  </w:num>
  <w:num w:numId="35" w16cid:durableId="125703707">
    <w:abstractNumId w:val="24"/>
  </w:num>
  <w:num w:numId="36" w16cid:durableId="365764363">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2F51"/>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49AA"/>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C3D"/>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28D4"/>
    <w:rsid w:val="006C3252"/>
    <w:rsid w:val="006C48F6"/>
    <w:rsid w:val="006C519A"/>
    <w:rsid w:val="006C52D4"/>
    <w:rsid w:val="006C5786"/>
    <w:rsid w:val="006C584B"/>
    <w:rsid w:val="006C5E79"/>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048"/>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2D7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0E1E"/>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8C3"/>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1C17"/>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6B65"/>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53B4"/>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4A12"/>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53E"/>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01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245"/>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AFF"/>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B0112222-4484-4DC0-B263-87E08AC3C588}"/>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2386</Characters>
  <Application>Microsoft Office Word</Application>
  <DocSecurity>0</DocSecurity>
  <Lines>56</Lines>
  <Paragraphs>47</Paragraphs>
  <ScaleCrop>false</ScaleCrop>
  <HeadingPairs>
    <vt:vector size="2" baseType="variant">
      <vt:variant>
        <vt:lpstr>Title</vt:lpstr>
      </vt:variant>
      <vt:variant>
        <vt:i4>1</vt:i4>
      </vt:variant>
    </vt:vector>
  </HeadingPairs>
  <TitlesOfParts>
    <vt:vector size="1" baseType="lpstr">
      <vt:lpstr>Synribo 2174-A SGM 2024</vt:lpstr>
    </vt:vector>
  </TitlesOfParts>
  <Company>PCS Health Systems</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Synribo 2174-A SGM 2024</dc:title>
  <dc:subject/>
  <dc:creator>CVS Caremark</dc:creator>
  <cp:keywords/>
  <cp:lastModifiedBy>Clark, Shannon I</cp:lastModifiedBy>
  <cp:revision>3</cp:revision>
  <cp:lastPrinted>2018-01-09T05:01:00Z</cp:lastPrinted>
  <dcterms:created xsi:type="dcterms:W3CDTF">2024-12-31T04:20:00Z</dcterms:created>
  <dcterms:modified xsi:type="dcterms:W3CDTF">2024-12-31T04:21:00Z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1099100</vt:r8>
  </property>
</Properties>
</file>